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4E07" w:rsidRDefault="00704E07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СОЮЗНОГО ГОСУДАРСТВА</w:t>
      </w:r>
    </w:p>
    <w:p w:rsidR="00704E07" w:rsidRDefault="00704E07">
      <w:pPr>
        <w:pStyle w:val="newncpi"/>
        <w:ind w:firstLine="0"/>
        <w:jc w:val="center"/>
      </w:pPr>
      <w:r>
        <w:rPr>
          <w:rStyle w:val="datepr"/>
        </w:rPr>
        <w:t>26 марта 2025 г.</w:t>
      </w:r>
      <w:r>
        <w:rPr>
          <w:rStyle w:val="number"/>
        </w:rPr>
        <w:t xml:space="preserve"> № 9</w:t>
      </w:r>
    </w:p>
    <w:p w:rsidR="00704E07" w:rsidRDefault="00704E07">
      <w:pPr>
        <w:pStyle w:val="placeprin"/>
      </w:pPr>
      <w:r>
        <w:t>г. Москва</w:t>
      </w:r>
    </w:p>
    <w:p w:rsidR="00704E07" w:rsidRDefault="00704E07">
      <w:pPr>
        <w:pStyle w:val="titlencpi"/>
      </w:pPr>
      <w:r>
        <w:t>О Плане мероприятий по реализации первого этапа (2025–2030 годы) Стратегии научно-технологического развития Союзного государства на период до 2035 года</w:t>
      </w:r>
    </w:p>
    <w:p w:rsidR="00704E07" w:rsidRDefault="00704E07">
      <w:pPr>
        <w:pStyle w:val="preamble"/>
      </w:pPr>
      <w:r>
        <w:t>Совет Министров Союзного государства ПОСТАНОВЛЯЕТ:</w:t>
      </w:r>
    </w:p>
    <w:p w:rsidR="00704E07" w:rsidRDefault="00704E07">
      <w:pPr>
        <w:pStyle w:val="point"/>
      </w:pPr>
      <w:r>
        <w:t>1. Утвердить прилагаемый План мероприятий по реализации первого этапа (2025–2030 годы) Стратегии научно-технологического развития Союзного государства на период до 2035 года (далее – Стратегия, План).</w:t>
      </w:r>
    </w:p>
    <w:p w:rsidR="00704E07" w:rsidRDefault="00704E07">
      <w:pPr>
        <w:pStyle w:val="point"/>
      </w:pPr>
      <w:r>
        <w:t>2. Федеральным органам исполнительной власти Российской Федерации, республиканским органам государственного управления Республики Беларусь и иным организациям, являющимся исполнителями Плана, обеспечить исполнение Плана.</w:t>
      </w:r>
    </w:p>
    <w:p w:rsidR="00704E07" w:rsidRDefault="00704E07">
      <w:pPr>
        <w:pStyle w:val="point"/>
      </w:pPr>
      <w:r>
        <w:t>3. Министерству науки и высшего образования Российской Федерации и Государственному комитету по науке и технологиям Республики Беларусь, Постоянному Комитету Союзного государства совместно с головными научными организациями по реализации Стратегии ежегодно, начиная с 2026 года, до 1 февраля года, следующего за отчетным, представлять в Совет Министров Союзного государства информационно-аналитический отчет о реализации Стратегии и выполнении Плана.</w:t>
      </w:r>
    </w:p>
    <w:p w:rsidR="00704E07" w:rsidRDefault="00704E07">
      <w:pPr>
        <w:pStyle w:val="point"/>
      </w:pPr>
      <w:r>
        <w:t>4. Настоящее постановление вступает в силу со дня его подписания.</w:t>
      </w:r>
    </w:p>
    <w:p w:rsidR="00704E07" w:rsidRDefault="00704E0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704E0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04E07" w:rsidRDefault="00704E07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>Председатель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Совета Министров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Союзного государства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04E07" w:rsidRDefault="00704E07">
            <w:pPr>
              <w:pStyle w:val="newncpi0"/>
              <w:jc w:val="right"/>
            </w:pPr>
            <w:r>
              <w:rPr>
                <w:rStyle w:val="pers"/>
              </w:rPr>
              <w:t>М.Мишустин</w:t>
            </w:r>
          </w:p>
        </w:tc>
      </w:tr>
    </w:tbl>
    <w:p w:rsidR="00704E07" w:rsidRDefault="00704E07">
      <w:pPr>
        <w:pStyle w:val="newncpi"/>
      </w:pPr>
      <w:r>
        <w:t> </w:t>
      </w:r>
    </w:p>
    <w:p w:rsidR="00704E07" w:rsidRDefault="00704E07">
      <w:pPr>
        <w:rPr>
          <w:rFonts w:eastAsia="Times New Roman"/>
        </w:rPr>
        <w:sectPr w:rsidR="00704E07" w:rsidSect="00704E0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3" w:bottom="1134" w:left="1416" w:header="280" w:footer="180" w:gutter="0"/>
          <w:cols w:space="708"/>
          <w:titlePg/>
          <w:docGrid w:linePitch="381"/>
        </w:sectPr>
      </w:pPr>
    </w:p>
    <w:p w:rsidR="00704E07" w:rsidRDefault="00704E07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7"/>
        <w:gridCol w:w="4052"/>
      </w:tblGrid>
      <w:tr w:rsidR="00704E0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capu1"/>
            </w:pPr>
            <w:r>
              <w:t>УТВЕРЖДЕН</w:t>
            </w:r>
          </w:p>
          <w:p w:rsidR="00704E07" w:rsidRDefault="00704E07">
            <w:pPr>
              <w:pStyle w:val="cap1"/>
            </w:pPr>
            <w:r>
              <w:t>постановлением</w:t>
            </w:r>
            <w:r>
              <w:br/>
              <w:t>Совета Министров</w:t>
            </w:r>
          </w:p>
          <w:p w:rsidR="00704E07" w:rsidRDefault="00704E07">
            <w:pPr>
              <w:pStyle w:val="cap1"/>
            </w:pPr>
            <w:r>
              <w:t>Союзного государства</w:t>
            </w:r>
          </w:p>
          <w:p w:rsidR="00704E07" w:rsidRDefault="00704E07">
            <w:pPr>
              <w:pStyle w:val="cap1"/>
            </w:pPr>
            <w:r>
              <w:t>от 26 марта 2025 г. № 9</w:t>
            </w:r>
          </w:p>
        </w:tc>
      </w:tr>
    </w:tbl>
    <w:p w:rsidR="00704E07" w:rsidRDefault="00704E07">
      <w:pPr>
        <w:pStyle w:val="titleu"/>
        <w:jc w:val="center"/>
      </w:pPr>
      <w:r>
        <w:t>ПЛАН МЕРОПРИЯТИЙ</w:t>
      </w:r>
      <w:r>
        <w:br/>
        <w:t>по реализации первого этапа (2025–2030 годы) Стратегии научно-технологического развития Союзного государства на период до 2035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4095"/>
        <w:gridCol w:w="3842"/>
        <w:gridCol w:w="1413"/>
        <w:gridCol w:w="3259"/>
        <w:gridCol w:w="3165"/>
      </w:tblGrid>
      <w:tr w:rsidR="00704E07">
        <w:trPr>
          <w:trHeight w:val="240"/>
        </w:trPr>
        <w:tc>
          <w:tcPr>
            <w:tcW w:w="131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4E07" w:rsidRDefault="00704E07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26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4E07" w:rsidRDefault="00704E07">
            <w:pPr>
              <w:pStyle w:val="table10"/>
              <w:jc w:val="center"/>
            </w:pPr>
            <w:r>
              <w:t>Наименование мероприятий</w:t>
            </w:r>
          </w:p>
        </w:tc>
        <w:tc>
          <w:tcPr>
            <w:tcW w:w="118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4E07" w:rsidRDefault="00704E07">
            <w:pPr>
              <w:pStyle w:val="table10"/>
              <w:jc w:val="center"/>
            </w:pPr>
            <w:r>
              <w:t>Ожидаемый результат</w:t>
            </w:r>
          </w:p>
        </w:tc>
        <w:tc>
          <w:tcPr>
            <w:tcW w:w="43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4E07" w:rsidRDefault="00704E07">
            <w:pPr>
              <w:pStyle w:val="table10"/>
              <w:jc w:val="center"/>
            </w:pPr>
            <w:r>
              <w:t>Сроки исполнения</w:t>
            </w:r>
          </w:p>
        </w:tc>
        <w:tc>
          <w:tcPr>
            <w:tcW w:w="198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4E07" w:rsidRDefault="00704E07">
            <w:pPr>
              <w:pStyle w:val="table10"/>
              <w:jc w:val="center"/>
            </w:pPr>
            <w:r>
              <w:t>Ответственный исполнитель</w:t>
            </w:r>
          </w:p>
        </w:tc>
      </w:tr>
      <w:tr w:rsidR="00704E0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07" w:rsidRDefault="00704E0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07" w:rsidRDefault="00704E0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07" w:rsidRDefault="00704E0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07" w:rsidRDefault="00704E0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4E07" w:rsidRDefault="00704E07">
            <w:pPr>
              <w:pStyle w:val="table10"/>
              <w:jc w:val="center"/>
            </w:pPr>
            <w:r>
              <w:t>от Российской Федерации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4E07" w:rsidRDefault="00704E07">
            <w:pPr>
              <w:pStyle w:val="table10"/>
              <w:jc w:val="center"/>
            </w:pPr>
            <w:r>
              <w:t>от Республики Беларусь</w:t>
            </w:r>
          </w:p>
        </w:tc>
      </w:tr>
      <w:tr w:rsidR="00704E07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rPr>
                <w:b/>
                <w:bCs/>
              </w:rPr>
              <w:t>I. Создание организационных, финансовых и законодательных механизмов, обеспечивающих гармонизацию научной, научно-технической, инновационной, промышленной, экономической и социальной политики и готовность государств – участников Договора о создании Союзного государства к ответам на большие вызовы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Оценка полноты и достаточности нормативно-правовой базы Союзного государства, подготовка проектов изменений в нормативные правовые акты в части регламентации порядка разработки и реализации комплексных проектов и (или) программ полного научно-исследовательского и инновационного цикла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постановление Совета Министров Союзного государства о внесении изменений в Порядок разработки и реализации программ Союзного государства</w:t>
            </w:r>
            <w:r>
              <w:br/>
              <w:t>постановление Совета Министров Союзного государства о внесении изменений в Порядок разработки и реализации проектов Союзного государства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2025 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Министерство науки и высшего образования Российской Федерации</w:t>
            </w:r>
            <w:r>
              <w:br/>
              <w:t>Российская академия наук</w:t>
            </w:r>
            <w:r>
              <w:br/>
              <w:t>НИЦ «Курчатовский институт»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Государственный комитет по науке и технологиям Республики Беларусь</w:t>
            </w:r>
            <w:r>
              <w:br/>
              <w:t>Национальная академия наук Беларуси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Разработка и утверждение положения о головной научной организации по реализации Стратегии научно-технологического развития Союзного государства на период до 2035 года (далее – Стратегия).</w:t>
            </w:r>
            <w:r>
              <w:br/>
              <w:t>Внесение изменений в законодательство сторон по вопросам деятельности головных научных организаций (при необходимости)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положение о головной научной организации по реализации Стратегии;</w:t>
            </w:r>
            <w:r>
              <w:br/>
              <w:t>внесение изменений в законодательство сторон по вопросам деятельности головных научных организаций (при необходимости)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2025 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Министерство науки и высшего образования Российской Федерации</w:t>
            </w:r>
            <w:r>
              <w:br/>
              <w:t>НИЦ «Курчатовский институт»</w:t>
            </w:r>
            <w:r>
              <w:br/>
              <w:t>Российская академия наук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Государственный комитет по науке и технологиям Республики Беларусь</w:t>
            </w:r>
            <w:r>
              <w:br/>
              <w:t>Национальная академия наук Беларуси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Реализация Дорожной карты сотрудничества НИЦ «Курчатовский институт» и Национальной академии наук Беларуси на период до 2030 года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осуществление проектов Дорожной карты в рамках механизмов, предусмотренных для реализации Стратегии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2025–2030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НИЦ «Курчатовский институт»</w:t>
            </w:r>
            <w:r>
              <w:br/>
              <w:t>заинтересованные федеральные органы исполнительной власти и организации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Национальная академия наук Беларуси</w:t>
            </w:r>
            <w:r>
              <w:br/>
              <w:t>заинтересованные республиканские органы государственного управления и организации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1.4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Совершенствование инструментария поддержки передовых исследований, в том числе посредством механизма проведения совместных конкурсов, в том числе с участием молодых ученых и специалистов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отчет о проведенных совместных конкурсах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Ежегодно, начиная с 2025 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Министерство науки и высшего образования Российской Федерации</w:t>
            </w:r>
            <w:r>
              <w:br/>
              <w:t>НИЦ «Курчатовский институт»</w:t>
            </w:r>
            <w:r>
              <w:br/>
              <w:t>Российская академия наук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Государственный комитет по науке и технологиям Республики Беларусь</w:t>
            </w:r>
            <w:r>
              <w:br/>
              <w:t>Национальная академия наук Беларуси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1.5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 xml:space="preserve">Формирование перечня национальных и международных информационных ресурсов, к </w:t>
            </w:r>
            <w:r>
              <w:lastRenderedPageBreak/>
              <w:t>которым будет предоставлен доступ исследовательских групп. Определение порядка доступа к информационным сетям научных и образовательных организаций, к научным журналам, их коллекциям, базам данных научного цитирования (национальная подписка), к другим, в том числе коммерческим ресурсам, содержащим сведения и перечни необходимой для исследователей информации, а также к патентной информации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lastRenderedPageBreak/>
              <w:t xml:space="preserve">перечень национальных и международных информационных ресурсов, к которым </w:t>
            </w:r>
            <w:r>
              <w:lastRenderedPageBreak/>
              <w:t>будет предоставлен доступ исследовательских групп</w:t>
            </w:r>
            <w:r>
              <w:br/>
              <w:t>порядок доступа к информационным сетям научных и образовательных организаций, к научным журналам, их коллекциям, базам данных научного цитирования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lastRenderedPageBreak/>
              <w:t>2025–2026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Министерство науки и высшего образования Российской Федерации</w:t>
            </w:r>
            <w:r>
              <w:br/>
            </w:r>
            <w:r>
              <w:lastRenderedPageBreak/>
              <w:t>НИЦ «Курчатовский институт»</w:t>
            </w:r>
            <w:r>
              <w:br/>
              <w:t>Российская академия наук</w:t>
            </w:r>
            <w:r>
              <w:br/>
              <w:t>научные, исследовательские и образовательные организации-операторы соответствующих информационных ресурсов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lastRenderedPageBreak/>
              <w:t>Государственный комитет по науке и технологиям Республики Беларусь</w:t>
            </w:r>
            <w:r>
              <w:br/>
            </w:r>
            <w:r>
              <w:lastRenderedPageBreak/>
              <w:t>Национальная академия наук Беларуси</w:t>
            </w:r>
            <w:r>
              <w:br/>
              <w:t>научные, исследовательские и образовательные организации-операторы соответствующих информационных ресурсов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lastRenderedPageBreak/>
              <w:t>1.6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Подготовка программ по разработке стандартов для реализации научно-технических проектов и (или) программ в рамках приоритетов научно-технологического развития Союзного государства, определенных в Стратегии.</w:t>
            </w:r>
            <w:r>
              <w:br/>
              <w:t>Оценка полноты и достаточности эталонной базы Союзного государства, в целях научно-технологического развития Союзного государства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перечень требующих актуализации или разработки документов национальной системы стандартизации в научно-технической сфере</w:t>
            </w:r>
            <w:r>
              <w:br/>
              <w:t>перечень требующих совершенствования или разработки государственных эталонов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2025 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Росстандарт</w:t>
            </w:r>
            <w:r>
              <w:br/>
              <w:t>Министерство науки и высшего образования Российской Федерации</w:t>
            </w:r>
            <w:r>
              <w:br/>
              <w:t>Российская академия наук</w:t>
            </w:r>
            <w:r>
              <w:br/>
              <w:t>НИЦ «Курчатовский институт»</w:t>
            </w:r>
            <w:r>
              <w:br/>
              <w:t>заинтересованные федеральные органы исполнительной власти и иные организации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Госстандарт</w:t>
            </w:r>
            <w:r>
              <w:br/>
              <w:t>Государственный комитет по науке и технологиям Республики Беларусь</w:t>
            </w:r>
            <w:r>
              <w:br/>
              <w:t>Национальная академия наук Беларуси</w:t>
            </w:r>
            <w:r>
              <w:br/>
              <w:t>БелГИМ</w:t>
            </w:r>
            <w:r>
              <w:br/>
              <w:t>заинтересованные республиканские органы государственного управления и иные организации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1.7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Мониторинг реализации и формирование предложений по корректировке Плана мероприятий по реализации Стратегии. Предоставление информационно-аналитического отчета о реализации Стратегии и выполнении Плана мероприятий по ее реализации в Совет Министров Союзного государства и Высший Государственный Совет Союзного государства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информационно-аналитический отчет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Ежегодно, начиная с 2025 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Министерство науки и высшего образования Российской Федерации</w:t>
            </w:r>
            <w:r>
              <w:br/>
              <w:t>НИЦ «Курчатовский институт»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Государственный комитет по науке и технологиям Республики Беларусь</w:t>
            </w:r>
            <w:r>
              <w:br/>
              <w:t>Национальная академия наук Беларуси</w:t>
            </w:r>
          </w:p>
        </w:tc>
      </w:tr>
      <w:tr w:rsidR="00704E07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rPr>
                <w:b/>
                <w:bCs/>
              </w:rPr>
              <w:t>II. Разработка механизмов и инфраструктурных элементов, обеспечивающих функционирование единой исследовательской инфраструктуры класса «мегасайенс» Союзного государства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2.1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Создание сети установок класса «мегасайенс» и совместное использование их возможностей для решения широкого спектра исследовательских и прикладных задач, включая взаимодействие в рамках Международной ассоциации научных организаций «Междисциплинарный центр синхротронных, нейтронных и лазерных исследований»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совместные научно-исследовательские программы в рамках деятельности Международной ассоциации научных организаций «Междисциплинарный центр синхротронных, нейтронных и лазерных исследований»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2026–2030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НИЦ «Курчатовский институт»</w:t>
            </w:r>
            <w:r>
              <w:br/>
              <w:t>Российская академия наук</w:t>
            </w:r>
            <w:r>
              <w:br/>
              <w:t>Министерство науки и высшего образования Российской Федерации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Национальная академия наук Беларуси</w:t>
            </w:r>
            <w:r>
              <w:br/>
              <w:t>Министерство образования Республики Беларусь</w:t>
            </w:r>
            <w:r>
              <w:br/>
              <w:t>Институт ядерных проблем Белорусского государственного университета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2.2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 xml:space="preserve">Создание объектов исследовательской инфраструктуры мирового уровня в области развития генетических технологий, включая </w:t>
            </w:r>
            <w:r>
              <w:lastRenderedPageBreak/>
              <w:t>базу генетической информации Союзного государства, геномную фабрику, биоресурсные центры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lastRenderedPageBreak/>
              <w:t xml:space="preserve">разработка и введение в эксплуатацию объектов исследовательской </w:t>
            </w:r>
            <w:r>
              <w:lastRenderedPageBreak/>
              <w:t>инфраструктуры в области генетических технологий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lastRenderedPageBreak/>
              <w:t>2025–2030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НИЦ «Курчатовский институт»</w:t>
            </w:r>
            <w:r>
              <w:br/>
              <w:t>Российская академия наук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Национальная академия наук Беларуси</w:t>
            </w:r>
          </w:p>
        </w:tc>
      </w:tr>
      <w:tr w:rsidR="00704E07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rPr>
                <w:b/>
                <w:bCs/>
              </w:rPr>
              <w:t>III. Запуск научных проектов, направленных на создание природоподобных технологий и формирование природоподобного базиса экономики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3.1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 xml:space="preserve">Проведение совместных исследований и разработок по всему спектру природоподобных (конвергентных) НБИКС-наук и технологий в центре конвергентных наук и технологий – Курчатовский комплекс НБИКС-природоподобных технологий 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публикации результатов совместных исследований в области природоподобных (конвергентных) НБИКС-наук и технологий в центре конвергентных наук и технологий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2025–2030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НИЦ «Курчатовский институт»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Национальная академия наук Беларуси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3.2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Реализация совместных проектов по созданию и развитию экспериментальной базы «мегасайенс» в области синхротронных и нейтронных исследований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перечень совместных проектов по созданию и развитию экспериментальной базы «мегасайенс» в области синхротронных и нейтронных исследований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2025–2030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НИЦ «Курчатовский институт»</w:t>
            </w:r>
            <w:r>
              <w:br/>
              <w:t>Российская академия наук</w:t>
            </w:r>
            <w:r>
              <w:br/>
              <w:t>Министерство обороны Российской Федерации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Национальная академия наук Беларуси</w:t>
            </w:r>
            <w:r>
              <w:br/>
              <w:t>Институт ядерных проблем Белорусского государственного университета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3.3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Разработка и реализация программы совместных исследований и разработок в рамках Международной ассоциации научных организаций «Междисциплинарный центр синхротронных, нейтронных и лазерных исследований»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программа совместных исследований и разработок в рамках Международной ассоциации научных организаций «Междисциплинарный центр синхротронных, нейтронных и лазерных исследований»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2025–2030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НИЦ «Курчатовский институт»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Национальная академия наук Беларуси</w:t>
            </w:r>
          </w:p>
        </w:tc>
      </w:tr>
      <w:tr w:rsidR="00704E07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rPr>
                <w:b/>
                <w:bCs/>
              </w:rPr>
              <w:t>IV. Реализация научно-технических проектов и (или) программ в рамках приоритетов научно-технологического развития Союзного государства, определенных в Стратегии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4.1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Создание современной экспериментально-стендовой базы двухкомпонентной атомной энергетики с замкнутым ядерным топливным циклом, разработка технологий управляемого термоядерного синтеза и инновационных плазменных технологий, разработка новых материалов и технологий для перспективных энергетических систем, включая термоядерные, проектирование и строительство референтных энергоблоков атомных электростанций, в том числе атомных станций малой мощности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новые материалы и технологии для применения в атомной энергетике и исследованиях в области управляемого термоядерного синтеза и инновационных плазменных технологий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2026–2030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Госкорпорация «Росатом»</w:t>
            </w:r>
            <w:r>
              <w:br/>
              <w:t>НИЦ «Курчатовский институт»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Национальная академия наук Беларуси</w:t>
            </w:r>
            <w:r>
              <w:br/>
              <w:t>Министерство энергетики Республики Беларусь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4.2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Разработка новейших технических средств и технологий в области возобновляемых и невозобновляемых энергоисточников, прежде всего, атомной энергетики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проекты и (или) программы полного научно-исследовательского и инновационного цикла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2026–2030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Госкорпорация «Росатом»</w:t>
            </w:r>
            <w:r>
              <w:br/>
              <w:t>НИЦ «Курчатовский институт»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Национальная академия наук Беларуси</w:t>
            </w:r>
            <w:r>
              <w:br/>
              <w:t>Министерство энергетики Республики Беларусь</w:t>
            </w:r>
            <w:r>
              <w:br/>
              <w:t>Министерство по чрезвычайным ситуациям Республики Беларусь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4.3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 xml:space="preserve">Реализация совместных исследований на базе новейшего российского научно-образовательного медицинского центра ядерной медицины 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публикации результатов совместных исследований в области ядерной медицины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2025–2030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НИЦ «Курчатовский институт»</w:t>
            </w:r>
            <w:r>
              <w:br/>
              <w:t>Российская академия наук</w:t>
            </w:r>
            <w:r>
              <w:br/>
              <w:t>Министерство здравоохранения Российской Федерации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Министерство здравоохранения Республики Беларусь</w:t>
            </w:r>
            <w:r>
              <w:br/>
              <w:t>Национальная академия наук Беларуси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lastRenderedPageBreak/>
              <w:t>4.4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Разработка и утверждение комплексных проектов и (или) программ полного научно-исследовательского и инновационного цикла в области сельского хозяйства и аквакультуры, генетики и биотехнологий, биобезопасности, включая продовольственную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проекты и (или) программы полного научно-исследовательского и инновационного цикла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2026–2030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НИЦ «Курчатовский институт»</w:t>
            </w:r>
            <w:r>
              <w:br/>
              <w:t>Министерство сельского хозяйства Российской Федерации</w:t>
            </w:r>
            <w:r>
              <w:br/>
              <w:t>Российская академия наук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Национальная академия наук Беларуси</w:t>
            </w:r>
            <w:r>
              <w:br/>
              <w:t>Министерство сельского хозяйства и продовольствия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4.5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Разработка новейших тест-систем, биологически активных веществ и фармсубстанций, а также клеточных технологий, в том числе для развития персонифицированной медицины, ядерной медицины эффективной профилактики и лечения заболеваний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проекты и (или) программы полного научно-исследовательского и инновационного цикла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2026–2030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Министерство здравоохранения Российской Федерации</w:t>
            </w:r>
            <w:r>
              <w:br/>
              <w:t>Российская академия наук</w:t>
            </w:r>
            <w:r>
              <w:br/>
              <w:t>НИЦ «Курчатовский институт»</w:t>
            </w:r>
            <w:r>
              <w:br/>
              <w:t>Госкорпорация «Росатом»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Министерство здравоохранения Республики Беларусь</w:t>
            </w:r>
            <w:r>
              <w:br/>
              <w:t>Национальная академия наук Беларуси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4.6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Разработка новых конструкционных и многофункциональных материалов, аддитивных технологий, проведение исследований в области материаловедения и химии новых материалов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проекты и (или) программы полного научно-исследовательского и инновационного цикла,</w:t>
            </w:r>
            <w:r>
              <w:br/>
              <w:t>проекты и (или) программы Союзного государства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2026–2030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НИЦ «Курчатовский институт»</w:t>
            </w:r>
            <w:r>
              <w:br/>
              <w:t>Министерство промышленности и торговли Российской Федерации</w:t>
            </w:r>
            <w:r>
              <w:br/>
              <w:t>Министерство науки и высшего образования Российской Федерации</w:t>
            </w:r>
            <w:r>
              <w:br/>
              <w:t>Госкорпорация «Росатом»</w:t>
            </w:r>
            <w:r>
              <w:br/>
              <w:t>Российская академия наук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Национальная академия наук Беларуси</w:t>
            </w:r>
            <w:r>
              <w:br/>
              <w:t>Министерство промышленности Республики Беларусь</w:t>
            </w:r>
            <w:r>
              <w:br/>
              <w:t>Министерство здравоохранения Республики Беларусь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4.7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 xml:space="preserve">Комплексное научное обеспечение инновационных технологий в электронике и радиоэлектронике, в том числе создание компонентной микроэлектронной базы для различных применений, включая объекты критической инфраструктуры, средства вычислительной техники, технику и оснащение оборонно-промышленного комплекса и др. 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проекты и (или) программы полного научно-исследовательского и инновационного цикла, проекты и (или) программы Союзного государства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2026–2030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Госкорпорация «Ростех»</w:t>
            </w:r>
            <w:r>
              <w:br/>
              <w:t>Министерство промышленности и торговли Российской Федерации</w:t>
            </w:r>
            <w:r>
              <w:br/>
              <w:t>Министерство обороны Российской Федерации</w:t>
            </w:r>
            <w:r>
              <w:br/>
              <w:t>НИЦ «Курчатовский институт»</w:t>
            </w:r>
            <w:r>
              <w:br/>
              <w:t>Госкорпорация «Росатом»</w:t>
            </w:r>
            <w:r>
              <w:br/>
              <w:t>Российская академия наук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Национальная академия наук Беларуси</w:t>
            </w:r>
            <w:r>
              <w:br/>
              <w:t>Министерство промышленности Республики Беларусь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4.8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Разработка и утверждение комплексных проектов и (или) программ полного научно-исследовательского и инновационного цикла в области цифровых технологий (в том числе по разработке цифровых решений для городов и регионов), искусственного интеллекта, больших данных, информационной безопасности в рамках формирования единого цифрового пространства Союзного государства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проекты и (или) программы полного научно-исследовательского и инновационного цикла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2026–2030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НИЦ «Курчатовский институт»</w:t>
            </w:r>
            <w:r>
              <w:br/>
              <w:t>Российская академия наук</w:t>
            </w:r>
            <w:r>
              <w:br/>
              <w:t>Фонд «Сколково»</w:t>
            </w:r>
            <w:r>
              <w:br/>
              <w:t>Министерство цифрового развития, связи и массовых коммуникаций Российской Федерации</w:t>
            </w:r>
            <w:r>
              <w:br/>
              <w:t>Госкорпорация «Росатом»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Оперативно-аналитический центр при Президенте Республики Беларусь</w:t>
            </w:r>
            <w:r>
              <w:br/>
              <w:t>Министерство связи и информатизации Республики Беларусь</w:t>
            </w:r>
            <w:r>
              <w:br/>
              <w:t>Национальная академия наук Беларуси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4.9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 xml:space="preserve">Разработка и утверждение комплексных проектов и (или) программ полного научно-исследовательского и инновационного цикла, а также проектов и (или) программ Союзного государства в области инновационного машиностроения, машиностроительного оборудования и технологий, </w:t>
            </w:r>
            <w:r>
              <w:lastRenderedPageBreak/>
              <w:t>интеллектуального приборостроения, сварочного оборудования и промышленной робототехники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lastRenderedPageBreak/>
              <w:t>проекты и (или) программы полного научно-исследовательского и инновационного цикла, проекты и (или) программы Союзного государства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2026–2030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Министерство промышленности и торговли Российской Федерации</w:t>
            </w:r>
            <w:r>
              <w:br/>
              <w:t>Госкорпорация «Ростех»</w:t>
            </w:r>
            <w:r>
              <w:br/>
              <w:t>Госкорпорация «Росатом»</w:t>
            </w:r>
            <w:r>
              <w:br/>
              <w:t>Российская академия наук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Министерство промышленности Республики Беларусь</w:t>
            </w:r>
            <w:r>
              <w:br/>
              <w:t>Национальная академия наук Беларуси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4.10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Развитие технологий для исследования космического пространства, включая технологии космической ядерной энергетики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 xml:space="preserve">новые технологии исследования космического пространства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2025–2030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Госкорпорация «Роскосмос»</w:t>
            </w:r>
            <w:r>
              <w:br/>
              <w:t>НИЦ «Курчатовский институт»</w:t>
            </w:r>
            <w:r>
              <w:br/>
              <w:t>Российская академия наук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Национальная академия наук Беларуси</w:t>
            </w:r>
            <w:r>
              <w:br/>
              <w:t>Государственный военно-промышленный комитет Республики Беларусь</w:t>
            </w:r>
            <w:r>
              <w:br/>
              <w:t>Министерство промышленности Республики Беларусь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4.11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 xml:space="preserve">Создание перспективных моделей беспилотной техники: летательных аппаратов, большегрузных автомобилей, техники для агропромышленного комплекса и др. 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новая беспилотная техника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2025–2030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Министерство промышленности и торговли Российской Федерации</w:t>
            </w:r>
            <w:r>
              <w:br/>
              <w:t>Министерство обороны Российской Федерации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Министерство промышленности Республики Беларусь</w:t>
            </w:r>
            <w:r>
              <w:br/>
              <w:t>Национальная академия наук Беларуси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4.12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Разработка стандартов для реализации проектов и (или) программ полного научно-исследовательского и инновационного цикла в рамках приоритетов научно-технологического развития Союзного государства, определенных в Стратегии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разработанные стандарты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2025–2030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Росстандарт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Госстандарт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4.13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Создание, совершенствование государственных (национальных) эталонов в целях обеспечения единства измерений и достоверных результатов измерений новейших технических средств и технологий, разработанных в рамках выполнения Плана мероприятий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разработаны, модернизированы государственные (национальные) эталоны</w:t>
            </w:r>
            <w:r>
              <w:br/>
              <w:t>определен порядок их использования в рамках Союзного государства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2026–2030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Росстандарт</w:t>
            </w:r>
            <w:r>
              <w:br/>
              <w:t>заинтересованные федеральные органы исполнительной власти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Госстандарт</w:t>
            </w:r>
            <w:r>
              <w:br/>
              <w:t>БелГИМ</w:t>
            </w:r>
            <w:r>
              <w:br/>
              <w:t>заинтересованные республиканские органы государственного управления и организации</w:t>
            </w:r>
          </w:p>
        </w:tc>
      </w:tr>
      <w:tr w:rsidR="00704E07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rPr>
                <w:b/>
                <w:bCs/>
              </w:rPr>
              <w:t>V. Формирование целостной системы устойчивого воспроизводства и привлечения кадров для научно-технологического развития Союзного государства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5.1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Разработка и реализация программы обмена опытом учителей естественных наук из Российской Федерации и Республики Беларусь на 2024–2030 годы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программа обмена опытом учителей естественных наук из Российской Федерации и Республики Беларусь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2025–2030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НИЦ «Курчатовский институт»</w:t>
            </w:r>
            <w:r>
              <w:br/>
              <w:t>Министерство просвещения Российской Федерации</w:t>
            </w:r>
            <w:r>
              <w:br/>
              <w:t>Россотрудничество</w:t>
            </w:r>
            <w:r>
              <w:br/>
              <w:t>Российская академия наук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Министерство образования Республики Беларусь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5.2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Разработка и реализация дополнительных профессиональных образовательных программ (модулей образовательных программ) для учителей естественных наук по предметным и междисциплинарным компетенциям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разработаны и реализуются дополнительные профессиональные образовательные программы (модули образовательных программ) для учителей естественных наук по предметным и междисциплинарным компетенциям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2025–2030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НИЦ «Курчатовский институт»</w:t>
            </w:r>
            <w:r>
              <w:br/>
              <w:t>Министерство просвещения Российской Федерации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Министерство образования Республики Беларусь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5.3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Создание секции «Инженерные и курчатовские классы» в структуре Ассоциации школ Российской Федерации и Республики Беларусь.</w:t>
            </w:r>
            <w:r>
              <w:br/>
              <w:t xml:space="preserve">Реализация проекта «Инженерные и курчатовские классы», в том числе через </w:t>
            </w:r>
            <w:r>
              <w:lastRenderedPageBreak/>
              <w:t>систему мероприятий Ассоциации школ Российской Федерации и Республики Беларусь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lastRenderedPageBreak/>
              <w:t>ежегодный отчет о проведении мероприятий по реализации проекта «Инженерные и курчатовские классы»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2025–2030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НИЦ «Курчатовский институт»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Министерство образования Республики Беларусь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5.4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Разработка и проведение, включая онлайн, циклов лекций отдельных учебных дисциплин, лабораторных работ на взаимной основе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циклы лекций отдельных учебных дисциплин, лабораторные работы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2025–2030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НИЯУ «МИФИ»</w:t>
            </w:r>
            <w:r>
              <w:br/>
              <w:t>Российская академия наук</w:t>
            </w:r>
            <w:r>
              <w:br/>
              <w:t>НИЦ «Курчатовский институт»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Белорусский государственный университет</w:t>
            </w:r>
          </w:p>
        </w:tc>
      </w:tr>
      <w:tr w:rsidR="00704E07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rPr>
                <w:b/>
                <w:bCs/>
              </w:rPr>
              <w:t>VI. Создание условий, необходимых для роста инвестиционной привлекательности научной, научно-технической и инновационной деятельности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6.1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Использование инструментов поддержки организаций – экспортеров, участвующих в реализации приоритетных проектов научно-технологического развития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отчет об итогах поддержки организаций-экспортеров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2025–2030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Министерство промышленности и торговли Российской Федерации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Министерство иностранных дел Республики Беларусь</w:t>
            </w:r>
            <w:r>
              <w:br/>
              <w:t>Государственный комитет по науке и технологиям Республики Беларусь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6.2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Участие в международных мероприятиях по популяризации достижений ученых Союзного государства и технологий в иностранных государствах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отчет об участии в международных мероприятиях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Ежегодно, начиная с 2025 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Министерство науки и высшего образования Российской Федерации</w:t>
            </w:r>
            <w:r>
              <w:br/>
              <w:t>Министерство иностранных дел Российской Федерации</w:t>
            </w:r>
            <w:r>
              <w:br/>
              <w:t>Россотрудничество</w:t>
            </w:r>
            <w:r>
              <w:br/>
              <w:t>Российская академия наук</w:t>
            </w:r>
            <w:r>
              <w:br/>
              <w:t>НИЦ «Курчатовский институт»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Государственный комитет по науке и технологиям Республики Беларусь</w:t>
            </w:r>
            <w:r>
              <w:br/>
              <w:t>Министерство иностранных дел Республики Беларусь</w:t>
            </w:r>
            <w:r>
              <w:br/>
              <w:t>Национальная академия наук Беларуси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6.3.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 xml:space="preserve">Расширение участия научных организаций и высокотехнологичных компаний России и Беларуси в реализации задач Межгосударственной программы инновационного сотрудничества государств – участников СНГ на период до 2030 г. 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отчет о результатах деятельности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2025–2030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Фонд «Сколково»</w:t>
            </w:r>
            <w:r>
              <w:br/>
              <w:t>Министерство науки и высшего образования Российской Федерации</w:t>
            </w:r>
            <w:r>
              <w:br/>
              <w:t>Российская академия наук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Государственный комитет по науке и технологиям Республики Беларусь</w:t>
            </w:r>
            <w:r>
              <w:br/>
              <w:t>Национальная академия наук Беларуси</w:t>
            </w:r>
          </w:p>
        </w:tc>
      </w:tr>
      <w:tr w:rsidR="00704E07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rPr>
                <w:b/>
                <w:bCs/>
              </w:rPr>
              <w:t>VII. Расширение международного научного сотрудничества со странами СНГ, БРИКС, ШОС, ЕАЭС (пункт 16 Стратегии)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7.1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Определение приоритетных направлений международного научно-технического сотрудничества государств – участников Союзного государства с дружественными странами и интеграционными объединениями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решения Комиссии по формированию единого научно-технологического пространства Союзного государства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Ежегодно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Министерство науки и высшего образования Российской Федерации</w:t>
            </w:r>
            <w:r>
              <w:br/>
              <w:t>Министерство иностранных дел Российской Федерации</w:t>
            </w:r>
            <w:r>
              <w:br/>
              <w:t>Российская академия наук</w:t>
            </w:r>
            <w:r>
              <w:br/>
              <w:t>НИЦ «Курчатовский институт»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Государственный комитет по науке и технологиям Республики Беларусь</w:t>
            </w:r>
            <w:r>
              <w:br/>
              <w:t>Министерство иностранных дел Республики Беларусь</w:t>
            </w:r>
            <w:r>
              <w:br/>
              <w:t>Национальная академия наук Беларуси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7.2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Участие российских и белорусских ученых и исследовательских групп в международных проектах, обеспечивающих равноправный доступ к новым компетенциям и (или) ресурсам организации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перечень международных проектов, в которых планируется участие</w:t>
            </w:r>
            <w:r>
              <w:br/>
              <w:t>отчет по итогам участия в международных мероприятиях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2025–2030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Министерство науки и высшего образования Российской Федерации</w:t>
            </w:r>
            <w:r>
              <w:br/>
              <w:t>НИЦ «Курчатовский институт»</w:t>
            </w:r>
            <w:r>
              <w:br/>
              <w:t>Российская академия наук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Государственный комитет по науке и технологиями Республики Беларусь</w:t>
            </w:r>
            <w:r>
              <w:br/>
              <w:t>Национальная академия наук Беларуси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7.3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Использование научными организациями и высокотехнологичными компаниями России и Беларуси многосторонних площадок (в том числе, АСЕМ, ВАС, ДСА, ШОС, Диалоговое партнерство АСЕАН, БРИКС, ЧЭС), предоставляющих выход на глобальные рынки знаний и технологий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перечень мероприятий по участию научных организаций и высокотехнологичных компаний России и Беларуси в мероприятиях многосторонних площадок</w:t>
            </w:r>
            <w:r>
              <w:br/>
              <w:t>отчет о результатах представления разработанных инновационных технологий на многосторонних площадках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2025–2030 гг.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Министерство науки и высшего образования Российской Федерации</w:t>
            </w:r>
            <w:r>
              <w:br/>
              <w:t>Министерство иностранных дел Российской Федерации</w:t>
            </w:r>
            <w:r>
              <w:br/>
              <w:t>Российская академия наук</w:t>
            </w:r>
            <w:r>
              <w:br/>
              <w:t>НИЦ «Курчатовский институт»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Государственный комитет по науке и технологиями Республики Беларусь</w:t>
            </w:r>
            <w:r>
              <w:br/>
              <w:t>Национальная академия наук Беларуси</w:t>
            </w:r>
            <w:r>
              <w:br/>
              <w:t>Министерство иностранных дел Республики Беларусь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7.4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 xml:space="preserve">Локализация на территории государств – участников Договора о создании Союзного </w:t>
            </w:r>
            <w:r>
              <w:lastRenderedPageBreak/>
              <w:t>государства крупных международных научных проектов в целях решения проблем, связанных с большими вызовами, а также направленных на оперативное замещение товаров критического импорта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lastRenderedPageBreak/>
              <w:t xml:space="preserve">перечень международных научно-технологических проектов, локализованных </w:t>
            </w:r>
            <w:r>
              <w:lastRenderedPageBreak/>
              <w:t>на территории государств – участников Договора о создании Союзного государства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lastRenderedPageBreak/>
              <w:t>2030 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Министерство науки и высшего образования Российской Федерации</w:t>
            </w:r>
            <w:r>
              <w:br/>
            </w:r>
            <w:r>
              <w:lastRenderedPageBreak/>
              <w:t>Российская академия наук</w:t>
            </w:r>
            <w:r>
              <w:br/>
              <w:t>НИЦ «Курчатовский институт»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lastRenderedPageBreak/>
              <w:t xml:space="preserve">Государственный комитет по науке и технологиями Республики </w:t>
            </w:r>
            <w:r>
              <w:lastRenderedPageBreak/>
              <w:t>Беларусь</w:t>
            </w:r>
            <w:r>
              <w:br/>
              <w:t>Национальная академия наук Беларуси</w:t>
            </w:r>
          </w:p>
        </w:tc>
      </w:tr>
      <w:tr w:rsidR="00704E07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rPr>
                <w:b/>
                <w:bCs/>
              </w:rPr>
              <w:lastRenderedPageBreak/>
              <w:t>VIII. Определение целевых индикаторов и показателей достижения результатов Стратегии (пункт 38 Стратегии)</w:t>
            </w:r>
          </w:p>
        </w:tc>
      </w:tr>
      <w:tr w:rsidR="00704E07">
        <w:trPr>
          <w:trHeight w:val="240"/>
        </w:trPr>
        <w:tc>
          <w:tcPr>
            <w:tcW w:w="13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8.1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Разработка и утверждение Перечня целевых индикаторов и показателей, характеризующих уровень достижения результатов реализации Стратегии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Перечень целевых индикаторов и показателей, характеризующих уровень достижения результатов реализации Стратегии, утвержденный Постановлением Совета Министров Союзного государства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  <w:jc w:val="center"/>
            </w:pPr>
            <w:r>
              <w:t>2025 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Министерство науки и высшего образования Российской Федерации</w:t>
            </w:r>
            <w:r>
              <w:br/>
              <w:t>НИЦ «Курчатовский институт»</w:t>
            </w:r>
            <w:r>
              <w:br/>
              <w:t>Российская академия наук</w:t>
            </w:r>
            <w:r>
              <w:br/>
              <w:t>Постоянный Комитет Союзного государства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4E07" w:rsidRDefault="00704E07">
            <w:pPr>
              <w:pStyle w:val="table10"/>
            </w:pPr>
            <w:r>
              <w:t>Государственный комитет по науке и технологиям Республики Беларусь</w:t>
            </w:r>
            <w:r>
              <w:br/>
              <w:t>Национальная академия наук Беларуси</w:t>
            </w:r>
          </w:p>
        </w:tc>
      </w:tr>
    </w:tbl>
    <w:p w:rsidR="00704E07" w:rsidRDefault="00704E07">
      <w:pPr>
        <w:pStyle w:val="newncpi"/>
      </w:pPr>
      <w:r>
        <w:t> 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704E07">
      <w:pgSz w:w="16838" w:h="11906" w:orient="landscape"/>
      <w:pgMar w:top="567" w:right="289" w:bottom="567" w:left="340" w:header="280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253E" w:rsidRDefault="0092253E" w:rsidP="00704E07">
      <w:pPr>
        <w:spacing w:after="0"/>
      </w:pPr>
      <w:r>
        <w:separator/>
      </w:r>
    </w:p>
  </w:endnote>
  <w:endnote w:type="continuationSeparator" w:id="0">
    <w:p w:rsidR="0092253E" w:rsidRDefault="0092253E" w:rsidP="00704E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E07" w:rsidRDefault="00704E0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E07" w:rsidRDefault="00704E0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704E07" w:rsidTr="00704E07">
      <w:tc>
        <w:tcPr>
          <w:tcW w:w="1800" w:type="dxa"/>
          <w:shd w:val="clear" w:color="auto" w:fill="auto"/>
          <w:vAlign w:val="center"/>
        </w:tcPr>
        <w:p w:rsidR="00704E07" w:rsidRDefault="00704E07">
          <w:pPr>
            <w:pStyle w:val="ae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704E07" w:rsidRDefault="00704E07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29.04.2026</w:t>
          </w:r>
        </w:p>
        <w:p w:rsidR="00704E07" w:rsidRPr="00704E07" w:rsidRDefault="00704E07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704E07" w:rsidRDefault="00704E0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253E" w:rsidRDefault="0092253E" w:rsidP="00704E07">
      <w:pPr>
        <w:spacing w:after="0"/>
      </w:pPr>
      <w:r>
        <w:separator/>
      </w:r>
    </w:p>
  </w:footnote>
  <w:footnote w:type="continuationSeparator" w:id="0">
    <w:p w:rsidR="0092253E" w:rsidRDefault="0092253E" w:rsidP="00704E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E07" w:rsidRDefault="00704E07" w:rsidP="009835AE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704E07" w:rsidRDefault="00704E0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E07" w:rsidRPr="00704E07" w:rsidRDefault="00704E07" w:rsidP="009835AE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704E07">
      <w:rPr>
        <w:rStyle w:val="af0"/>
        <w:rFonts w:cs="Times New Roman"/>
        <w:sz w:val="24"/>
      </w:rPr>
      <w:fldChar w:fldCharType="begin"/>
    </w:r>
    <w:r w:rsidRPr="00704E07">
      <w:rPr>
        <w:rStyle w:val="af0"/>
        <w:rFonts w:cs="Times New Roman"/>
        <w:sz w:val="24"/>
      </w:rPr>
      <w:instrText xml:space="preserve"> PAGE </w:instrText>
    </w:r>
    <w:r w:rsidRPr="00704E07">
      <w:rPr>
        <w:rStyle w:val="af0"/>
        <w:rFonts w:cs="Times New Roman"/>
        <w:sz w:val="24"/>
      </w:rPr>
      <w:fldChar w:fldCharType="separate"/>
    </w:r>
    <w:r w:rsidRPr="00704E07">
      <w:rPr>
        <w:rStyle w:val="af0"/>
        <w:rFonts w:cs="Times New Roman"/>
        <w:noProof/>
        <w:sz w:val="24"/>
      </w:rPr>
      <w:t>8</w:t>
    </w:r>
    <w:r w:rsidRPr="00704E07">
      <w:rPr>
        <w:rStyle w:val="af0"/>
        <w:rFonts w:cs="Times New Roman"/>
        <w:sz w:val="24"/>
      </w:rPr>
      <w:fldChar w:fldCharType="end"/>
    </w:r>
  </w:p>
  <w:p w:rsidR="00704E07" w:rsidRPr="00704E07" w:rsidRDefault="00704E07">
    <w:pPr>
      <w:pStyle w:val="ac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E07" w:rsidRDefault="00704E0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07"/>
    <w:rsid w:val="001565AB"/>
    <w:rsid w:val="006C0B77"/>
    <w:rsid w:val="00704E07"/>
    <w:rsid w:val="008242FF"/>
    <w:rsid w:val="00870751"/>
    <w:rsid w:val="0092253E"/>
    <w:rsid w:val="00922C48"/>
    <w:rsid w:val="00AA5E8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4FEE4-BE11-4808-B17E-07BE3B34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04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E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E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E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E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E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E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E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E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4E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4E0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4E0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04E0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04E0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04E0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04E0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04E0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04E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4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E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4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4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4E0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04E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4E0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4E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4E0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04E07"/>
    <w:rPr>
      <w:b/>
      <w:bCs/>
      <w:smallCaps/>
      <w:color w:val="2E74B5" w:themeColor="accent1" w:themeShade="BF"/>
      <w:spacing w:val="5"/>
    </w:rPr>
  </w:style>
  <w:style w:type="paragraph" w:customStyle="1" w:styleId="titlencpi">
    <w:name w:val="titlencpi"/>
    <w:basedOn w:val="a"/>
    <w:rsid w:val="00704E07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titleu">
    <w:name w:val="titleu"/>
    <w:basedOn w:val="a"/>
    <w:rsid w:val="00704E07"/>
    <w:pPr>
      <w:spacing w:before="240" w:after="240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704E07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704E07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able10">
    <w:name w:val="table10"/>
    <w:basedOn w:val="a"/>
    <w:rsid w:val="00704E07"/>
    <w:pPr>
      <w:spacing w:after="0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cap1">
    <w:name w:val="cap1"/>
    <w:basedOn w:val="a"/>
    <w:rsid w:val="00704E07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u1">
    <w:name w:val="capu1"/>
    <w:basedOn w:val="a"/>
    <w:rsid w:val="00704E07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704E07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704E07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laceprin">
    <w:name w:val="placeprin"/>
    <w:basedOn w:val="a"/>
    <w:rsid w:val="00704E07"/>
    <w:pPr>
      <w:spacing w:after="0"/>
      <w:jc w:val="center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704E0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04E0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04E0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04E0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04E0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04E07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704E07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704E07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704E07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704E07"/>
    <w:rPr>
      <w:rFonts w:ascii="Times New Roman" w:hAnsi="Times New Roman"/>
      <w:sz w:val="28"/>
    </w:rPr>
  </w:style>
  <w:style w:type="character" w:styleId="af0">
    <w:name w:val="page number"/>
    <w:basedOn w:val="a0"/>
    <w:uiPriority w:val="99"/>
    <w:semiHidden/>
    <w:unhideWhenUsed/>
    <w:rsid w:val="00704E07"/>
  </w:style>
  <w:style w:type="table" w:styleId="af1">
    <w:name w:val="Table Grid"/>
    <w:basedOn w:val="a1"/>
    <w:uiPriority w:val="39"/>
    <w:rsid w:val="00704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2702</Words>
  <Characters>21645</Characters>
  <Application>Microsoft Office Word</Application>
  <DocSecurity>0</DocSecurity>
  <Lines>865</Lines>
  <Paragraphs>283</Paragraphs>
  <ScaleCrop>false</ScaleCrop>
  <Company/>
  <LinksUpToDate>false</LinksUpToDate>
  <CharactersWithSpaces>24064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Юркевич</dc:creator>
  <cp:keywords/>
  <dc:description/>
  <cp:lastModifiedBy>Анатолий Юркевич</cp:lastModifiedBy>
  <cp:revision>1</cp:revision>
  <dcterms:created xsi:type="dcterms:W3CDTF">2026-04-29T07:47:00Z</dcterms:created>
  <dcterms:modified xsi:type="dcterms:W3CDTF">2026-04-29T07:48:00Z</dcterms:modified>
</cp:coreProperties>
</file>